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PlainText"/>
        <w:ind w:firstLine="36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lainText"/>
        <w:ind w:firstLine="36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lainText"/>
        <w:ind w:firstLine="36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lainText"/>
        <w:ind w:firstLine="36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lainText"/>
        <w:ind w:firstLine="36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lainText"/>
        <w:ind w:firstLine="36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lainText"/>
        <w:ind w:firstLine="36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lainText"/>
        <w:ind w:firstLine="36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lainText"/>
        <w:ind w:firstLine="36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PlainText"/>
        <w:ind w:firstLine="360"/>
        <w:jc w:val="center"/>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rmal"/>
        <w:jc w:val="center"/>
        <w:rPr/>
      </w:pPr>
      <w:r>
        <w:rPr>
          <w:rFonts w:cs="Calibri" w:cstheme="minorHAnsi"/>
          <w:color w:val="000000"/>
          <w:sz w:val="40"/>
          <w:szCs w:val="32"/>
        </w:rPr>
        <w:t>Bydlení pro seniory Hlubočepy</w:t>
      </w:r>
    </w:p>
    <w:p>
      <w:pPr>
        <w:pStyle w:val="Normal"/>
        <w:jc w:val="center"/>
        <w:rPr/>
      </w:pPr>
      <w:r>
        <w:rPr>
          <w:rFonts w:cs="Calibri" w:cstheme="minorHAnsi"/>
          <w:color w:val="000000"/>
          <w:sz w:val="44"/>
          <w:szCs w:val="32"/>
        </w:rPr>
        <w:t>D</w:t>
      </w:r>
      <w:r>
        <w:rPr>
          <w:rFonts w:eastAsia="Calibri" w:cs="Calibri" w:cstheme="minorHAnsi"/>
          <w:color w:val="000000"/>
          <w:kern w:val="0"/>
          <w:sz w:val="44"/>
          <w:szCs w:val="32"/>
          <w:lang w:val="cs-CZ" w:eastAsia="en-US" w:bidi="ar-SA"/>
        </w:rPr>
        <w:t>PS</w:t>
      </w:r>
    </w:p>
    <w:p>
      <w:pPr>
        <w:pStyle w:val="Normal"/>
        <w:jc w:val="center"/>
        <w:rPr>
          <w:rFonts w:cs="Calibri" w:cstheme="minorHAnsi"/>
          <w:color w:val="FF0000"/>
          <w:sz w:val="44"/>
          <w:szCs w:val="32"/>
        </w:rPr>
      </w:pPr>
      <w:r>
        <w:rPr>
          <w:rFonts w:cs="Calibri" w:cstheme="minorHAnsi"/>
          <w:color w:val="FF0000"/>
          <w:sz w:val="44"/>
          <w:szCs w:val="32"/>
        </w:rPr>
      </w:r>
    </w:p>
    <w:p>
      <w:pPr>
        <w:pStyle w:val="Normal"/>
        <w:jc w:val="center"/>
        <w:rPr>
          <w:rFonts w:cs="Calibri" w:cstheme="minorHAnsi"/>
          <w:color w:val="000000"/>
          <w:sz w:val="44"/>
          <w:szCs w:val="32"/>
        </w:rPr>
      </w:pPr>
      <w:r>
        <w:rPr>
          <w:rFonts w:cs="Calibri" w:cstheme="minorHAnsi"/>
          <w:color w:val="000000"/>
          <w:sz w:val="44"/>
          <w:szCs w:val="32"/>
        </w:rPr>
      </w:r>
    </w:p>
    <w:p>
      <w:pPr>
        <w:pStyle w:val="PlainText"/>
        <w:jc w:val="center"/>
        <w:rPr/>
      </w:pPr>
      <w:r>
        <w:rPr>
          <w:rFonts w:cs="Calibri" w:ascii="Calibri" w:hAnsi="Calibri" w:asciiTheme="minorHAnsi" w:cstheme="minorHAnsi" w:hAnsiTheme="minorHAnsi"/>
          <w:b/>
          <w:bCs/>
          <w:sz w:val="40"/>
          <w:szCs w:val="52"/>
          <w:lang w:val="cs-CZ"/>
        </w:rPr>
        <w:t>D.2.8. Sadové úpravy</w:t>
      </w:r>
    </w:p>
    <w:p>
      <w:pPr>
        <w:pStyle w:val="PlainText"/>
        <w:jc w:val="center"/>
        <w:rPr/>
      </w:pPr>
      <w:r>
        <w:rPr>
          <w:rFonts w:cs="Calibri" w:ascii="Calibri" w:hAnsi="Calibri" w:asciiTheme="minorHAnsi" w:cstheme="minorHAnsi" w:hAnsiTheme="minorHAnsi"/>
          <w:b/>
          <w:bCs/>
          <w:sz w:val="40"/>
          <w:szCs w:val="52"/>
          <w:lang w:val="cs-CZ"/>
        </w:rPr>
        <w:t>Praha 5 – Hlubočepy, k.ú. 728837</w:t>
      </w:r>
    </w:p>
    <w:p>
      <w:pPr>
        <w:pStyle w:val="PlainText"/>
        <w:jc w:val="center"/>
        <w:rPr>
          <w:rFonts w:ascii="Calibri" w:hAnsi="Calibri" w:cs="Calibri" w:asciiTheme="minorHAnsi" w:cstheme="minorHAnsi" w:hAnsiTheme="minorHAnsi"/>
          <w:sz w:val="44"/>
        </w:rPr>
      </w:pPr>
      <w:r>
        <w:rPr>
          <w:rFonts w:cs="Calibri" w:cstheme="minorHAnsi" w:ascii="Calibri" w:hAnsi="Calibri"/>
          <w:sz w:val="44"/>
        </w:rPr>
      </w:r>
    </w:p>
    <w:p>
      <w:pPr>
        <w:pStyle w:val="PlainText"/>
        <w:jc w:val="center"/>
        <w:rPr>
          <w:rFonts w:ascii="Calibri" w:hAnsi="Calibri" w:cs="Calibri" w:asciiTheme="minorHAnsi" w:cstheme="minorHAnsi" w:hAnsiTheme="minorHAnsi"/>
          <w:sz w:val="44"/>
        </w:rPr>
      </w:pPr>
      <w:r>
        <w:rPr>
          <w:rFonts w:cs="Calibri" w:cstheme="minorHAnsi" w:ascii="Calibri" w:hAnsi="Calibri"/>
          <w:sz w:val="44"/>
        </w:rPr>
      </w:r>
    </w:p>
    <w:p>
      <w:pPr>
        <w:pStyle w:val="PlainText"/>
        <w:jc w:val="center"/>
        <w:rPr>
          <w:rFonts w:ascii="Calibri" w:hAnsi="Calibri" w:cs="Calibri" w:asciiTheme="minorHAnsi" w:cstheme="minorHAnsi" w:hAnsiTheme="minorHAnsi"/>
          <w:sz w:val="44"/>
        </w:rPr>
      </w:pPr>
      <w:r>
        <w:rPr>
          <w:rFonts w:cs="Calibri" w:cstheme="minorHAnsi" w:ascii="Calibri" w:hAnsi="Calibri"/>
          <w:sz w:val="44"/>
        </w:rPr>
      </w:r>
    </w:p>
    <w:p>
      <w:pPr>
        <w:pStyle w:val="PlainText"/>
        <w:jc w:val="center"/>
        <w:rPr>
          <w:rFonts w:ascii="Calibri" w:hAnsi="Calibri" w:cs="Calibri" w:asciiTheme="minorHAnsi" w:cstheme="minorHAnsi" w:hAnsiTheme="minorHAnsi"/>
          <w:sz w:val="44"/>
        </w:rPr>
      </w:pPr>
      <w:r>
        <w:rPr>
          <w:rFonts w:cs="Calibri" w:cstheme="minorHAnsi" w:ascii="Calibri" w:hAnsi="Calibri"/>
          <w:sz w:val="44"/>
        </w:rPr>
      </w:r>
    </w:p>
    <w:p>
      <w:pPr>
        <w:pStyle w:val="Normal"/>
        <w:tabs>
          <w:tab w:val="clear" w:pos="720"/>
          <w:tab w:val="left" w:pos="-1985" w:leader="none"/>
        </w:tabs>
        <w:jc w:val="center"/>
        <w:rPr/>
      </w:pPr>
      <w:r>
        <w:rPr>
          <w:rFonts w:cs="Calibri" w:cstheme="minorHAnsi"/>
          <w:color w:val="000000"/>
          <w:sz w:val="48"/>
          <w:szCs w:val="32"/>
        </w:rPr>
        <w:t xml:space="preserve">D.2.8.1. - </w:t>
      </w:r>
      <w:r>
        <w:rPr>
          <w:rFonts w:cs="Calibri" w:cstheme="minorHAnsi"/>
          <w:color w:val="000000"/>
          <w:sz w:val="44"/>
          <w:szCs w:val="32"/>
        </w:rPr>
        <w:t>TECHNICKÁ ZPRÁVA</w:t>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PlainText"/>
        <w:jc w:val="center"/>
        <w:rPr>
          <w:rFonts w:ascii="Calibri" w:hAnsi="Calibri" w:cs="Calibri" w:asciiTheme="minorHAnsi" w:cstheme="minorHAnsi" w:hAnsiTheme="minorHAnsi"/>
          <w:sz w:val="22"/>
        </w:rPr>
      </w:pPr>
      <w:r>
        <w:rPr>
          <w:rFonts w:cs="Calibri" w:cstheme="minorHAnsi" w:ascii="Calibri" w:hAnsi="Calibri"/>
          <w:sz w:val="22"/>
        </w:rPr>
      </w:r>
    </w:p>
    <w:p>
      <w:pPr>
        <w:pStyle w:val="NoSpacing"/>
        <w:jc w:val="right"/>
        <w:rPr>
          <w:rFonts w:cs="Calibri" w:cstheme="minorHAnsi"/>
        </w:rPr>
      </w:pPr>
      <w:r>
        <w:rPr>
          <w:rFonts w:cs="Calibri" w:cstheme="minorHAnsi"/>
        </w:rPr>
      </w:r>
    </w:p>
    <w:p>
      <w:pPr>
        <w:pStyle w:val="NoSpacing"/>
        <w:jc w:val="right"/>
        <w:rPr>
          <w:rFonts w:cs="Calibri" w:cstheme="minorHAnsi"/>
        </w:rPr>
      </w:pPr>
      <w:r>
        <w:rPr>
          <w:rFonts w:cs="Calibri" w:cstheme="minorHAnsi"/>
        </w:rPr>
      </w:r>
    </w:p>
    <w:p>
      <w:pPr>
        <w:pStyle w:val="NoSpacing"/>
        <w:jc w:val="right"/>
        <w:rPr>
          <w:rFonts w:cs="Calibri" w:cstheme="minorHAnsi"/>
        </w:rPr>
      </w:pPr>
      <w:r>
        <w:rPr>
          <w:rFonts w:cs="Calibri" w:cstheme="minorHAnsi"/>
        </w:rPr>
      </w:r>
    </w:p>
    <w:p>
      <w:pPr>
        <w:pStyle w:val="NoSpacing"/>
        <w:jc w:val="right"/>
        <w:rPr>
          <w:rFonts w:cs="Calibri" w:cstheme="minorHAnsi"/>
        </w:rPr>
      </w:pPr>
      <w:r>
        <w:rPr>
          <w:rFonts w:cs="Calibri" w:cstheme="minorHAnsi"/>
        </w:rPr>
      </w:r>
    </w:p>
    <w:p>
      <w:pPr>
        <w:pStyle w:val="NoSpacing"/>
        <w:jc w:val="right"/>
        <w:rPr>
          <w:rFonts w:cs="Calibri" w:cstheme="minorHAnsi"/>
        </w:rPr>
      </w:pPr>
      <w:r>
        <w:rPr>
          <w:rFonts w:cs="Calibri" w:cstheme="minorHAnsi"/>
        </w:rPr>
      </w:r>
    </w:p>
    <w:p>
      <w:pPr>
        <w:pStyle w:val="NoSpacing"/>
        <w:jc w:val="right"/>
        <w:rPr>
          <w:rFonts w:cs="Calibri" w:cstheme="minorHAnsi"/>
        </w:rPr>
      </w:pPr>
      <w:r>
        <w:rPr>
          <w:rFonts w:cs="Calibri" w:cstheme="minorHAnsi"/>
        </w:rPr>
      </w:r>
    </w:p>
    <w:p>
      <w:pPr>
        <w:pStyle w:val="NoSpacing"/>
        <w:jc w:val="right"/>
        <w:rPr/>
      </w:pPr>
      <w:r>
        <w:rPr>
          <w:rFonts w:cs="Calibri" w:cstheme="minorHAnsi"/>
        </w:rPr>
        <w:t>10/2020</w:t>
      </w:r>
    </w:p>
    <w:p>
      <w:pPr>
        <w:pStyle w:val="Nadpis2"/>
        <w:rPr/>
      </w:pPr>
      <w:r>
        <w:rPr/>
      </w:r>
    </w:p>
    <w:p>
      <w:pPr>
        <w:pStyle w:val="Normal"/>
        <w:rPr/>
      </w:pPr>
      <w:r>
        <w:rPr/>
      </w:r>
    </w:p>
    <w:p>
      <w:pPr>
        <w:pStyle w:val="Nadpis2"/>
        <w:spacing w:before="0" w:after="113"/>
        <w:jc w:val="both"/>
        <w:rPr/>
      </w:pPr>
      <w:r>
        <w:rPr/>
        <w:t>Úvod, popis území</w:t>
      </w:r>
    </w:p>
    <w:p>
      <w:pPr>
        <w:pStyle w:val="Normal"/>
        <w:spacing w:before="0" w:after="113"/>
        <w:jc w:val="both"/>
        <w:rPr/>
      </w:pPr>
      <w:r>
        <w:rPr/>
        <w:tab/>
        <w:t>Předkládaná část dokumentace pro společné řízení řeší sadové úpravy pro Bydlení pro seniory, Hlubočepy.</w:t>
      </w:r>
    </w:p>
    <w:p>
      <w:pPr>
        <w:pStyle w:val="Normal"/>
        <w:spacing w:before="0" w:after="113"/>
        <w:jc w:val="both"/>
        <w:rPr/>
      </w:pPr>
      <w:r>
        <w:rPr/>
        <w:tab/>
        <w:t xml:space="preserve">Zájmové území se nachází v Praze 5, čtvrť Hlubočepy, podél ulic Hlubočepská a Na Srpečku. Jedná se o zastavěný pozemek, na kterém se v současné době nachází budova, která bude zdemolována (dle dokumentace „Odstranění objektu č.p.281 – autor APB a.s. Praha, 08/2017). Budova je napojena na inženýrské sítě, před demolicí dojde k odpojení. </w:t>
      </w:r>
    </w:p>
    <w:p>
      <w:pPr>
        <w:pStyle w:val="Nadpis2"/>
        <w:spacing w:before="0" w:after="113"/>
        <w:jc w:val="both"/>
        <w:rPr/>
      </w:pPr>
      <w:r>
        <w:rPr>
          <w:rFonts w:eastAsia="" w:cs="" w:cstheme="majorBidi" w:eastAsiaTheme="majorEastAsia"/>
          <w:color w:val="2F5496" w:themeColor="accent1" w:themeShade="bf"/>
          <w:sz w:val="26"/>
          <w:szCs w:val="26"/>
        </w:rPr>
        <w:t>Stávající zeleň</w:t>
      </w:r>
    </w:p>
    <w:p>
      <w:pPr>
        <w:pStyle w:val="Normal"/>
        <w:spacing w:before="0" w:after="113"/>
        <w:jc w:val="both"/>
        <w:rPr/>
      </w:pPr>
      <w:r>
        <w:rPr>
          <w:rFonts w:eastAsia="" w:cs="" w:cstheme="majorBidi" w:eastAsiaTheme="majorEastAsia"/>
          <w:color w:val="000000" w:themeShade="bf"/>
          <w:sz w:val="22"/>
          <w:szCs w:val="22"/>
        </w:rPr>
        <w:t>Dendrologický průzkum:</w:t>
      </w:r>
    </w:p>
    <w:p>
      <w:pPr>
        <w:pStyle w:val="Normal"/>
        <w:spacing w:before="0" w:after="113"/>
        <w:jc w:val="both"/>
        <w:rPr/>
      </w:pPr>
      <w:r>
        <w:rPr/>
        <w:tab/>
        <w:t xml:space="preserve">V roce 2017 byl proveden dendrologický průzkum zájmové lokality </w:t>
      </w:r>
      <w:r>
        <w:rPr>
          <w:rFonts w:ascii="Helvetica" w:hAnsi="Helvetica"/>
        </w:rPr>
        <w:t xml:space="preserve"> (</w:t>
      </w:r>
      <w:r>
        <w:rPr>
          <w:rFonts w:ascii="Helvetica" w:hAnsi="Helvetica"/>
          <w:b w:val="false"/>
          <w:i w:val="false"/>
          <w:color w:val="000000"/>
          <w:sz w:val="20"/>
        </w:rPr>
        <w:t>Bc. Darina Smerekovská, DiS., 2017)</w:t>
      </w:r>
      <w:r>
        <w:rPr/>
        <w:t xml:space="preserve">. Stávající dřeviny rostou v travnaté ploše v mírně svažitém terénu rozvolněně kolem budovy č.p. 281. Jedná se o běžně se vyskytující druhy jehličnatých i listnatých dřevin jako například javor mléč, javor klen, lípa srdčitá, ptačí zob obecný, borovice lesní, modřín opadavý. Dle průzkumu stávající zeleň nemá již původní architektonický koncept. </w:t>
      </w:r>
    </w:p>
    <w:p>
      <w:pPr>
        <w:pStyle w:val="Normal"/>
        <w:spacing w:before="0" w:after="113"/>
        <w:jc w:val="both"/>
        <w:rPr/>
      </w:pPr>
      <w:r>
        <w:rPr/>
        <w:t>Kácení:</w:t>
      </w:r>
    </w:p>
    <w:p>
      <w:pPr>
        <w:pStyle w:val="Normal"/>
        <w:spacing w:before="0" w:after="113"/>
        <w:jc w:val="both"/>
        <w:rPr/>
      </w:pPr>
      <w:r>
        <w:rPr/>
        <w:t>Ke kácení jsou navrženy dřevin v překryvu se stavbou budovy, komunikaci, inž.sítí a nutných terénních úprav.</w:t>
      </w:r>
    </w:p>
    <w:p>
      <w:pPr>
        <w:pStyle w:val="Normal"/>
        <w:spacing w:before="0" w:after="113"/>
        <w:jc w:val="both"/>
        <w:rPr/>
      </w:pPr>
      <w:r>
        <w:rPr/>
        <w:t>Kácené stromy č. dle dendrol. průzkumu 1, 2, 3, 4, 5, 6, 7, 8, 9, 10, 11, 12, 13, 14,  16, 18, 19, 21</w:t>
      </w:r>
    </w:p>
    <w:p>
      <w:pPr>
        <w:pStyle w:val="Normal"/>
        <w:spacing w:before="0" w:after="113"/>
        <w:jc w:val="both"/>
        <w:rPr/>
      </w:pPr>
      <w:r>
        <w:rPr/>
        <w:t xml:space="preserve">Kácené keře </w:t>
      </w:r>
      <w:r>
        <w:rPr/>
        <w:t xml:space="preserve">a porosty </w:t>
      </w:r>
      <w:r>
        <w:rPr/>
        <w:t>č. dle dendrol. průzkumu: K1, K2, K3, K4, K5, K6, K7, K8, K9, K10, K11</w:t>
      </w:r>
      <w:r>
        <w:rPr/>
        <w:t>, S1, S2</w:t>
      </w:r>
    </w:p>
    <w:p>
      <w:pPr>
        <w:pStyle w:val="Normal"/>
        <w:spacing w:before="0" w:after="113"/>
        <w:jc w:val="both"/>
        <w:rPr/>
      </w:pPr>
      <w:r>
        <w:rPr/>
        <w:t>Zachovány budou stromy č. 15 - ořešák vlašský, 17 - modřín opadavý a č. 20 - borovice lesní.</w:t>
      </w:r>
    </w:p>
    <w:p>
      <w:pPr>
        <w:pStyle w:val="Normal"/>
        <w:spacing w:before="0" w:after="113"/>
        <w:jc w:val="both"/>
        <w:rPr/>
      </w:pPr>
      <w:r>
        <w:rPr/>
        <w:tab/>
        <w:t>Po dobu stavby budou zachované stromy chráněny dle ČSN 83 9061 Ochrana stromů, porostů a vegetačních ploch při stavebních pracích, zejména bedněním Po dokončení stavby se provede odborné ošetření stromů řezem a konzervací.</w:t>
      </w:r>
    </w:p>
    <w:p>
      <w:pPr>
        <w:pStyle w:val="Normal"/>
        <w:spacing w:before="0" w:after="113"/>
        <w:jc w:val="both"/>
        <w:rPr/>
      </w:pPr>
      <w:r>
        <w:rPr/>
        <w:t>Náhradní výsadba:</w:t>
      </w:r>
    </w:p>
    <w:p>
      <w:pPr>
        <w:pStyle w:val="Normal"/>
        <w:spacing w:before="0" w:after="113"/>
        <w:jc w:val="both"/>
        <w:rPr/>
      </w:pPr>
      <w:r>
        <w:rPr/>
        <w:tab/>
        <w:t xml:space="preserve">Jako náhradní výsadba bude v rámci stavby vysazeno 13 ks stromů ve velikostní kategorii při výsadbě 16-18-20 cm obvodu kmene ve 100 cm výšky, resp. 300 - 350 cm výšky  jehličnanů a sloupovitého dubu, dále </w:t>
      </w:r>
      <w:r>
        <w:rPr>
          <w:rFonts w:eastAsia="Calibri" w:cs="" w:cstheme="minorBidi" w:eastAsiaTheme="minorHAnsi"/>
          <w:color w:val="auto"/>
          <w:kern w:val="0"/>
          <w:sz w:val="22"/>
          <w:szCs w:val="22"/>
          <w:lang w:val="cs-CZ" w:eastAsia="en-US" w:bidi="ar-SA"/>
        </w:rPr>
        <w:t>130</w:t>
      </w:r>
      <w:r>
        <w:rPr/>
        <w:t xml:space="preserve"> ks keřů středních listnatých opadavých a stálezelených,  jehličnatých, nízkých a plazivých.</w:t>
      </w:r>
    </w:p>
    <w:p>
      <w:pPr>
        <w:pStyle w:val="Nadpis2"/>
        <w:spacing w:before="0" w:after="113"/>
        <w:jc w:val="both"/>
        <w:rPr/>
      </w:pPr>
      <w:r>
        <w:rPr/>
        <w:t>Popis navrhovaných sadových úprav</w:t>
      </w:r>
    </w:p>
    <w:p>
      <w:pPr>
        <w:pStyle w:val="Nadpis2"/>
        <w:spacing w:before="0" w:after="113"/>
        <w:jc w:val="both"/>
        <w:rPr/>
      </w:pPr>
      <w:r>
        <w:rPr>
          <w:rFonts w:eastAsia="Calibri" w:cs="" w:ascii="Calibri" w:hAnsi="Calibri" w:asciiTheme="minorHAnsi" w:cstheme="minorBidi" w:eastAsiaTheme="minorHAnsi" w:hAnsiTheme="minorHAnsi"/>
          <w:color w:val="auto"/>
          <w:sz w:val="22"/>
          <w:szCs w:val="22"/>
        </w:rPr>
        <w:tab/>
        <w:t>Návrh zeleně respektuje stavebně technické řešení areálu, provozně kompoziční vztahy, charakter okolí, vychází ze stávajících i předpokládaných podmínek.</w:t>
      </w:r>
    </w:p>
    <w:p>
      <w:pPr>
        <w:pStyle w:val="Normal"/>
        <w:spacing w:before="0" w:after="113"/>
        <w:jc w:val="both"/>
        <w:rPr/>
      </w:pPr>
      <w:r>
        <w:rPr/>
        <w:t>Základním konceptem řešení je začlenit objekt domu s pečovatelskou službou co nejvíce do okolního veřejného prostoru vytvořením přirozeně působících skupin dřevin. Navrhované dřeviny jsou rozmístěny tak, aby vytvořily celoroční příjemné obytné prostředí.</w:t>
      </w:r>
    </w:p>
    <w:p>
      <w:pPr>
        <w:pStyle w:val="Normal"/>
        <w:spacing w:before="0" w:after="113"/>
        <w:jc w:val="both"/>
        <w:rPr/>
      </w:pPr>
      <w:r>
        <w:rPr/>
        <w:tab/>
        <w:t xml:space="preserve">V  travnatých plochách po stranách objektu a před objektem je rozvolněná výsadba stromů - dominantní buk lesní </w:t>
      </w:r>
      <w:r>
        <w:rPr>
          <w:b/>
          <w:bCs/>
        </w:rPr>
        <w:t xml:space="preserve">Fagus sylvatica </w:t>
      </w:r>
      <w:r>
        <w:rPr/>
        <w:t>a jeho červenolistá for</w:t>
      </w:r>
      <w:r>
        <w:rPr>
          <w:b/>
          <w:bCs/>
        </w:rPr>
        <w:t xml:space="preserve">ma "Atropunicea", habry Carpinus betulus, pyramidální dub letní </w:t>
      </w:r>
      <w:r>
        <w:rPr/>
        <w:t xml:space="preserve">Quercus robur "Fastigiata Koster", borovice lesní </w:t>
      </w:r>
      <w:r>
        <w:rPr>
          <w:b/>
          <w:bCs/>
        </w:rPr>
        <w:t>Pinus sylvestris</w:t>
      </w:r>
      <w:r>
        <w:rPr/>
        <w:t xml:space="preserve"> borovice vejmutovka </w:t>
      </w:r>
      <w:r>
        <w:rPr>
          <w:b/>
          <w:bCs/>
        </w:rPr>
        <w:t>Pinus strobus</w:t>
      </w:r>
      <w:r>
        <w:rPr/>
        <w:t xml:space="preserve">, převislý cypřišek </w:t>
      </w:r>
      <w:r>
        <w:rPr>
          <w:b/>
          <w:bCs/>
        </w:rPr>
        <w:t>Chamaecyparis nootkatensis "Pendula"</w:t>
      </w:r>
      <w:r>
        <w:rPr/>
        <w:t xml:space="preserve">, smrk pančičův </w:t>
      </w:r>
      <w:r>
        <w:rPr>
          <w:b/>
          <w:bCs/>
        </w:rPr>
        <w:t>Picea omoric</w:t>
      </w:r>
      <w:r>
        <w:rPr/>
        <w:t xml:space="preserve">a a jedlovec kanadský </w:t>
      </w:r>
      <w:r>
        <w:rPr>
          <w:b/>
          <w:bCs/>
        </w:rPr>
        <w:t>Tsuga canadensis</w:t>
      </w:r>
      <w:r>
        <w:rPr/>
        <w:t xml:space="preserve">. </w:t>
      </w:r>
    </w:p>
    <w:p>
      <w:pPr>
        <w:pStyle w:val="Normal"/>
        <w:spacing w:before="0" w:after="113"/>
        <w:jc w:val="both"/>
        <w:rPr/>
      </w:pPr>
      <w:r>
        <w:rPr/>
        <w:tab/>
        <w:t xml:space="preserve">U hlavního vstupu je plocha souvisle osázená plazivými růžemi </w:t>
      </w:r>
      <w:r>
        <w:rPr>
          <w:b/>
          <w:bCs/>
        </w:rPr>
        <w:t>Rosa "Pink the Fairy"</w:t>
      </w:r>
      <w:r>
        <w:rPr/>
        <w:t xml:space="preserve">. V travnatých plochách před hlavním průčelím domu jsou rozvolněné skupiny zimostrázu </w:t>
      </w:r>
      <w:r>
        <w:rPr>
          <w:b/>
          <w:bCs/>
        </w:rPr>
        <w:t>Buxus sempervirens</w:t>
      </w:r>
      <w:r>
        <w:rPr/>
        <w:t xml:space="preserve"> tvarovaného do koulí průměru cca 1-1,2 m.</w:t>
      </w:r>
      <w:r>
        <w:rPr>
          <w:rFonts w:eastAsia="Calibri" w:cs="" w:cstheme="minorBidi" w:eastAsiaTheme="minorHAnsi"/>
          <w:color w:val="auto"/>
          <w:kern w:val="0"/>
          <w:sz w:val="22"/>
          <w:szCs w:val="22"/>
          <w:lang w:val="cs-CZ" w:eastAsia="en-US" w:bidi="ar-SA"/>
        </w:rPr>
        <w:t xml:space="preserve"> </w:t>
      </w:r>
      <w:r>
        <w:rPr/>
        <w:t xml:space="preserve"> V trávníku jsou ve významnějších bodech vysazeny středně vzrůstné kvetoucí keře pustorylu P</w:t>
      </w:r>
      <w:r>
        <w:rPr>
          <w:b/>
          <w:bCs/>
        </w:rPr>
        <w:t>hiladelphus "Virginal"</w:t>
      </w:r>
      <w:r>
        <w:rPr/>
        <w:t xml:space="preserve"> a stálezelené kaliny pražské </w:t>
      </w:r>
      <w:r>
        <w:rPr>
          <w:b/>
          <w:bCs/>
        </w:rPr>
        <w:t>Viburnum pragense</w:t>
      </w:r>
      <w:r>
        <w:rPr/>
        <w:t xml:space="preserve">.  V souběhu uliční komunikace a pozemku je vysazena skupina zákuly japonské </w:t>
      </w:r>
      <w:r>
        <w:rPr>
          <w:b/>
          <w:bCs/>
        </w:rPr>
        <w:t>Keria japonica "Plena"</w:t>
      </w:r>
      <w:r>
        <w:rPr/>
        <w:t>. Výsadby keřů doplňují solitérní a v malých skupinách vysazené jehličnany - tisy Ta</w:t>
      </w:r>
      <w:r>
        <w:rPr>
          <w:b/>
          <w:bCs/>
        </w:rPr>
        <w:t>xus baccata "Washingtonii"</w:t>
      </w:r>
      <w:r>
        <w:rPr/>
        <w:t xml:space="preserve"> a </w:t>
      </w:r>
      <w:r>
        <w:rPr>
          <w:b/>
          <w:bCs/>
        </w:rPr>
        <w:t>"Dovastoniana"</w:t>
      </w:r>
      <w:r>
        <w:rPr/>
        <w:t>.</w:t>
      </w:r>
    </w:p>
    <w:p>
      <w:pPr>
        <w:pStyle w:val="Nadpis2"/>
        <w:spacing w:before="0" w:after="113"/>
        <w:jc w:val="both"/>
        <w:rPr/>
      </w:pPr>
      <w:r>
        <w:rPr>
          <w:rFonts w:eastAsia="" w:cs="" w:cstheme="majorBidi" w:eastAsiaTheme="majorEastAsia"/>
          <w:color w:themeColor="accent1" w:themeShade="bf"/>
        </w:rPr>
        <w:t xml:space="preserve">Příprava </w:t>
      </w:r>
      <w:r>
        <w:rPr>
          <w:rFonts w:eastAsia="" w:cs="" w:cstheme="majorBidi" w:eastAsiaTheme="majorEastAsia"/>
          <w:color w:val="2F5496" w:themeColor="accent1" w:themeShade="bf"/>
          <w:sz w:val="26"/>
          <w:szCs w:val="26"/>
        </w:rPr>
        <w:t>půdy</w:t>
      </w:r>
    </w:p>
    <w:p>
      <w:pPr>
        <w:pStyle w:val="Normal"/>
        <w:spacing w:before="0" w:after="113"/>
        <w:jc w:val="both"/>
        <w:rPr/>
      </w:pPr>
      <w:r>
        <w:rPr/>
        <w:tab/>
        <w:t>Na plochách  dotčených hrubými terénními úpravami  do  -20 cm se provede vyčištění od všech nežádoucích materiálů, zejména od stavebních zbytků, obalů a těžko rozložitelných rostlinných částí, rozprostření kvalitní ornice ve vrstvě 20 cm po ulehnutí, plošná úprava terénu, obdělání půdy do drobtovité struktury, zásobní hnojení umělým hnojivem v dávce 60 g/m2 a ošetření herbicidem před založením.</w:t>
      </w:r>
    </w:p>
    <w:p>
      <w:pPr>
        <w:pStyle w:val="Normal"/>
        <w:spacing w:before="0" w:after="113"/>
        <w:jc w:val="both"/>
        <w:rPr/>
      </w:pPr>
      <w:r>
        <w:rPr/>
        <w:tab/>
        <w:t>Pláň podkladu nemá před rozrušením půdy vykazovat na měřící linii v délce 4 m prohlubně větší než  5 cm od požadované roviny (sklonu), u napojení okolní plochy větší než 3 cm jmenovité výšky. Před rozprostřením vegetační vrstvy půdy je nutno podklad po celé ploše rozrušit, pokud jeho svažitost nepřesahuje poměr 1 : 1,25. Na plochách se sklonem větším než 1 : 1,25 je potřeba povrch podkladu zdrsnit vhodnou formou tak, aby bylo možno dostatečné spojení podkladu s rozprostíranou vegetační vrstvou půdy. Kypření musí být stejnoměrné, musí dosahovat nejméně do hloubky 15 cm a musí napravit také zhutnění způsobené použitím nářadí a strojů. Je nutné zabránit nežádoucímu zhutnění v hlubších vrstvách půdy.</w:t>
      </w:r>
    </w:p>
    <w:p>
      <w:pPr>
        <w:pStyle w:val="Normal"/>
        <w:spacing w:before="0" w:after="113"/>
        <w:jc w:val="both"/>
        <w:rPr/>
      </w:pPr>
      <w:r>
        <w:rPr/>
        <w:t xml:space="preserve"> </w:t>
      </w:r>
      <w:r>
        <w:rPr/>
        <w:tab/>
        <w:t xml:space="preserve">Na plochách mimo hrubé terénní úpravy a demolice se provede regenerace. Plochy je nutno před zpracováním půdy vyčistit od všech nežádoucích materiálů, zejména od stavebních zbytků, obalů a těžko rozložitelných rostlinných částí. Půdu znečištěnou tuky, oleji, barvami a dalšími látkami ohrožujícími rostliny je nutno vyměnit. Půdu nevhodnou pro předpokládané využití ploch je nutno vyměnit, jestliže není možné dosáhnout patřičné vhodnosti opatřeními pro zlepšení půdy. Stávající drn bude zaorán. Provede se doplnění ornice v průměrné vrstvě 5 cm, obdělání půdy kultivátorem a uhrabáním, zásobní hnojení umělým hnojivem v dávce </w:t>
      </w:r>
      <w:r>
        <w:rPr>
          <w:rFonts w:eastAsia="Calibri" w:cs="" w:cstheme="minorBidi" w:eastAsiaTheme="minorHAnsi"/>
          <w:color w:val="auto"/>
          <w:kern w:val="0"/>
          <w:sz w:val="22"/>
          <w:szCs w:val="22"/>
          <w:lang w:val="cs-CZ" w:eastAsia="en-US" w:bidi="ar-SA"/>
        </w:rPr>
        <w:t xml:space="preserve">60 g/m2 </w:t>
      </w:r>
      <w:r>
        <w:rPr/>
        <w:t>a ošetření herbicidem před založením.</w:t>
      </w:r>
    </w:p>
    <w:p>
      <w:pPr>
        <w:pStyle w:val="Nadpis2"/>
        <w:spacing w:before="0" w:after="113"/>
        <w:jc w:val="both"/>
        <w:rPr/>
      </w:pPr>
      <w:r>
        <w:rPr/>
        <w:t>Založení parkového trávníku výsevem</w:t>
      </w:r>
    </w:p>
    <w:p>
      <w:pPr>
        <w:pStyle w:val="NoSpacing"/>
        <w:spacing w:before="0" w:after="0"/>
        <w:jc w:val="both"/>
        <w:rPr/>
      </w:pPr>
      <w:r>
        <w:rPr/>
        <w:tab/>
        <w:t>Před výsevem je nezbytné udělat rozbor půdy a případně upravit půdní vlastnosti 10-20 cm svrchní vrstvy zeminy takto:</w:t>
        <w:tab/>
      </w:r>
    </w:p>
    <w:p>
      <w:pPr>
        <w:pStyle w:val="NoSpacing"/>
        <w:spacing w:before="0" w:after="0"/>
        <w:jc w:val="both"/>
        <w:rPr/>
      </w:pPr>
      <w:r>
        <w:rPr/>
        <w:tab/>
        <w:tab/>
        <w:tab/>
        <w:t xml:space="preserve">mechanické: </w:t>
        <w:tab/>
        <w:t xml:space="preserve">70 - 80 % písčité částice 0,25 - 2,00 mm </w:t>
      </w:r>
    </w:p>
    <w:p>
      <w:pPr>
        <w:pStyle w:val="NoSpacing"/>
        <w:spacing w:before="0" w:after="0"/>
        <w:jc w:val="both"/>
        <w:rPr/>
      </w:pPr>
      <w:r>
        <w:rPr/>
        <w:tab/>
        <w:tab/>
        <w:tab/>
        <w:tab/>
        <w:tab/>
        <w:t>20 - 30%  jílovité částice 0,01 - 0,25 mm</w:t>
      </w:r>
    </w:p>
    <w:p>
      <w:pPr>
        <w:pStyle w:val="NoSpacing"/>
        <w:spacing w:before="0" w:after="0"/>
        <w:jc w:val="both"/>
        <w:rPr/>
      </w:pPr>
      <w:r>
        <w:rPr/>
        <w:tab/>
        <w:tab/>
        <w:tab/>
        <w:tab/>
        <w:tab/>
        <w:t xml:space="preserve">10 - 15% obsah půdního vzduchu </w:t>
      </w:r>
    </w:p>
    <w:p>
      <w:pPr>
        <w:pStyle w:val="NoSpacing"/>
        <w:spacing w:before="0" w:after="0"/>
        <w:ind w:left="1416" w:firstLine="708"/>
        <w:jc w:val="both"/>
        <w:rPr/>
      </w:pPr>
      <w:r>
        <w:rPr/>
        <w:t>biochemické:</w:t>
        <w:tab/>
        <w:t>pH 5,5 - 6,5</w:t>
      </w:r>
    </w:p>
    <w:p>
      <w:pPr>
        <w:pStyle w:val="Normal"/>
        <w:spacing w:before="0" w:after="113"/>
        <w:jc w:val="both"/>
        <w:rPr/>
      </w:pPr>
      <w:r>
        <w:rPr/>
        <w:tab/>
        <w:tab/>
        <w:tab/>
        <w:tab/>
        <w:tab/>
        <w:t>obsah humusu (organických látek) 5%</w:t>
      </w:r>
    </w:p>
    <w:p>
      <w:pPr>
        <w:pStyle w:val="Normal"/>
        <w:spacing w:before="0" w:after="113"/>
        <w:jc w:val="both"/>
        <w:rPr/>
      </w:pPr>
      <w:r>
        <w:rPr/>
        <w:tab/>
        <w:t>Vysévané množství travního semene bude 25 g/m</w:t>
      </w:r>
      <w:r>
        <w:rPr>
          <w:vertAlign w:val="superscript"/>
        </w:rPr>
        <w:t>2</w:t>
      </w:r>
      <w:r>
        <w:rPr/>
        <w:t>. Použita bude parková travní směs pro mírné zastínění. Po výsevu se povrch musí uválcovat a zavlažit 20 l/m</w:t>
      </w:r>
      <w:r>
        <w:rPr>
          <w:vertAlign w:val="superscript"/>
        </w:rPr>
        <w:t>2</w:t>
      </w:r>
      <w:r>
        <w:rPr/>
        <w:t>. Klíčícímu osivu je nutné zabezpečit dostatečnou vláhu.</w:t>
      </w:r>
    </w:p>
    <w:p>
      <w:pPr>
        <w:pStyle w:val="Normal"/>
        <w:spacing w:before="0" w:after="113"/>
        <w:jc w:val="both"/>
        <w:rPr/>
      </w:pPr>
      <w:r>
        <w:rPr/>
        <w:tab/>
        <w:t>Při dodržení správných podmínek začne trávník vzcházet zhruba po třech týdnech. První seč se provádí tehdy, až průměrná výška porostu dosahuje 10 cm, a to zásadně ostře nabroušeným ostřím žacího nářadí na výšku 5 - 6 cm. Poté je vhodné celou plochu opět uválet válcem a nadále zavlažovat. Před předáním trávníku budou provedeny min. 3 seče. Při dodržení správných podmínek bude trávník plně pochozí cca po šesti měsících.</w:t>
      </w:r>
    </w:p>
    <w:p>
      <w:pPr>
        <w:pStyle w:val="Nadpis2"/>
        <w:spacing w:before="0" w:after="113"/>
        <w:jc w:val="both"/>
        <w:rPr/>
      </w:pPr>
      <w:r>
        <w:rPr/>
        <w:t xml:space="preserve">Výsadba stromů </w:t>
      </w:r>
    </w:p>
    <w:p>
      <w:pPr>
        <w:pStyle w:val="Normal"/>
        <w:spacing w:before="0" w:after="113"/>
        <w:jc w:val="both"/>
        <w:rPr/>
      </w:pPr>
      <w:r>
        <w:rPr/>
        <w:tab/>
        <w:t>Stromy budou vysazeny do jamek 0,6 m3 s 50% výměnou půdy.  Po vykopání bude výsadbová jáma prolita vodou. Při vlastní výsadbě stromů budou do dna jámy zatlučeny tři kůly a poté bude proveden podsyp balu substrátem, po uložení balu bude dosypán substrát ve složení zahradní zemina a ornice v poměru 3:1. Substrát bude utužen sešlápnutím, provede se prolití vodou. Dokončí se kotvení třemi kůly  - spojení příčkami a upevnění kmene úvazky. Omotání kmene jutou a umístění zavlažovacích a provzdušňovacích trubic se nedoporučuje.</w:t>
      </w:r>
    </w:p>
    <w:p>
      <w:pPr>
        <w:pStyle w:val="Normal"/>
        <w:spacing w:before="0" w:after="113"/>
        <w:jc w:val="both"/>
        <w:rPr/>
      </w:pPr>
      <w:r>
        <w:rPr/>
        <w:tab/>
        <w:t>Po vysazení dřeviny bude vytvořena závlahová mísa průměru 150 cm s vyvýšenými okrajem, mulčovaná 10 cm vrstvou drcené borky nebo štěpky a zalití 20 l vody.</w:t>
      </w:r>
    </w:p>
    <w:p>
      <w:pPr>
        <w:pStyle w:val="Normal"/>
        <w:spacing w:before="0" w:after="113"/>
        <w:jc w:val="both"/>
        <w:rPr/>
      </w:pPr>
      <w:r>
        <w:rPr/>
        <w:tab/>
        <w:t>Použity budou výpěstky se zemním balem, nasazení koruny  200 cm, jehličnany a pyramidální dub větvené od země. Po výsadbě se provede srovnávací řez korun listnatých stromů.</w:t>
      </w:r>
    </w:p>
    <w:p>
      <w:pPr>
        <w:pStyle w:val="Nadpis2"/>
        <w:spacing w:before="0" w:after="113"/>
        <w:jc w:val="both"/>
        <w:rPr/>
      </w:pPr>
      <w:r>
        <w:rPr/>
        <w:t xml:space="preserve">Výsadba </w:t>
      </w:r>
      <w:r>
        <w:rPr>
          <w:rFonts w:eastAsia="" w:cs="" w:cstheme="majorBidi" w:eastAsiaTheme="majorEastAsia"/>
          <w:color w:val="2F5496" w:themeColor="accent1" w:themeShade="bf"/>
          <w:sz w:val="26"/>
          <w:szCs w:val="26"/>
        </w:rPr>
        <w:t>keřů</w:t>
      </w:r>
    </w:p>
    <w:p>
      <w:pPr>
        <w:pStyle w:val="Normal"/>
        <w:spacing w:before="0" w:after="113"/>
        <w:jc w:val="both"/>
        <w:rPr/>
      </w:pPr>
      <w:r>
        <w:rPr/>
        <w:tab/>
        <w:t xml:space="preserve">Keře budou vysazeny do jamek 0,05 m3, jehličnaté keře 0,125 m,3, s 50% výměnou půdy substrátem ve složení zahradní zemina a ornice v poměru 3:1. Hustota výsadby středních keřů ve skupinách 1 - 2 m, plazivých růží  4 ks/m2, </w:t>
      </w:r>
      <w:r>
        <w:rPr>
          <w:rFonts w:eastAsia="Calibri" w:cs="" w:cstheme="minorBidi" w:eastAsiaTheme="minorHAnsi"/>
          <w:color w:val="auto"/>
          <w:kern w:val="0"/>
          <w:sz w:val="22"/>
          <w:szCs w:val="22"/>
          <w:lang w:val="cs-CZ" w:eastAsia="en-US" w:bidi="ar-SA"/>
        </w:rPr>
        <w:t>tvarovaných zimostrázů cca 1,5-2 m.</w:t>
      </w:r>
      <w:r>
        <w:rPr/>
        <w:t xml:space="preserve"> Plochy výsadby keřů budou mulčována 10 cm drcené kůry nebo štěpky. U solitérních keřů budou zřízeny zavlažovací mísy průměru 1 m  s vyvýšenými okrajem, mulčované 10 cm vrstvou drcené borky nebo štěpky, rostlina bude zalita 20 l vody.</w:t>
      </w:r>
    </w:p>
    <w:p>
      <w:pPr>
        <w:pStyle w:val="Normal"/>
        <w:spacing w:before="0" w:after="113"/>
        <w:jc w:val="both"/>
        <w:rPr/>
      </w:pPr>
      <w:r>
        <w:rPr/>
        <w:tab/>
        <w:t>Použity budou výpěstky v kontejnerech 2,5 l, jehličnany a  tvarovaný zimostráz v kontejnerech 5 l. nebo s balem 20 cm. U opadavých středních keřů se provede po výsadbě zkrácení výhonů o cca 1/3.</w:t>
      </w:r>
    </w:p>
    <w:p>
      <w:pPr>
        <w:pStyle w:val="Nadpis2"/>
        <w:spacing w:before="0" w:after="113"/>
        <w:jc w:val="both"/>
        <w:rPr/>
      </w:pPr>
      <w:r>
        <w:rPr/>
        <w:t>Provádění</w:t>
      </w:r>
    </w:p>
    <w:p>
      <w:pPr>
        <w:pStyle w:val="Normal"/>
        <w:spacing w:before="0" w:after="113"/>
        <w:jc w:val="both"/>
        <w:rPr/>
      </w:pPr>
      <w:r>
        <w:rPr/>
        <w:tab/>
        <w:t>Před započetím zemních prací musí být odpovědným pracovníkem zajištěno na terénu vyznačení tras podzemních vedení inženýrských sítí a jiných překážek. S druhem inženýrských sítí, jejich trasami a hloubkou uložení a s jejich ochrannými pásmy musí být seznámeni pracovníci, kteří budou zemní práce provádět. Toto platí i pro trasy inženýrských sítí, které by mohly být stavební činností narušeny. V ochranných pásmech těchto sítí je nutno provádět výkop ručně. Dle zákona č. 188/2006 Sb. § 153, odst. 1 je za vytyčení sítí odpovědný stavbyvedoucí.</w:t>
      </w:r>
    </w:p>
    <w:p>
      <w:pPr>
        <w:pStyle w:val="Normal"/>
        <w:spacing w:before="0" w:after="113"/>
        <w:jc w:val="both"/>
        <w:rPr/>
      </w:pPr>
      <w:r>
        <w:rPr/>
        <w:tab/>
        <w:t>Veškeré navrhované stromy jsou umístěny mimo ochranná pásma známých sítí.</w:t>
      </w:r>
    </w:p>
    <w:p>
      <w:pPr>
        <w:pStyle w:val="Nadpis2"/>
        <w:spacing w:before="0" w:after="113"/>
        <w:jc w:val="both"/>
        <w:rPr/>
      </w:pPr>
      <w:r>
        <w:rPr/>
        <w:t>Bezpečnost a ochrana zdraví, související normy</w:t>
      </w:r>
    </w:p>
    <w:p>
      <w:pPr>
        <w:pStyle w:val="Normal"/>
        <w:spacing w:before="0" w:after="113"/>
        <w:jc w:val="both"/>
        <w:rPr/>
      </w:pPr>
      <w:r>
        <w:rPr/>
        <w:tab/>
        <w:t>Při provádění musí být dodržovány zejména následující předpisy:</w:t>
      </w:r>
    </w:p>
    <w:p>
      <w:pPr>
        <w:pStyle w:val="Normal"/>
        <w:spacing w:before="0" w:after="113"/>
        <w:jc w:val="both"/>
        <w:rPr/>
      </w:pPr>
      <w:r>
        <w:rPr/>
        <w:t xml:space="preserve">ČSN 73 3050 Zemní práce, ČSN 46 4902 Výpěstky okrasných dřevin, ČSN 83 9011 Práce s půdou, ČSN 83 9021 Rostliny a jejich výsadba, ČSN 83 9031 Trávníky a jejich zakládání, ČSN 83 9041 Technicko-biologické způsoby stabilizace terénu, ČSN 83 9051 Rozvojová a udržovací péče o vegetační plochy, ČSN 83 9061 Ochrana stromů, porostů a vegetačních ploch při stavebních pracích, </w:t>
      </w:r>
      <w:r>
        <w:rPr>
          <w:rFonts w:eastAsia="Lucida Sans Unicode" w:cs="Arial"/>
          <w:b w:val="false"/>
          <w:bCs w:val="false"/>
          <w:i w:val="false"/>
          <w:caps w:val="false"/>
          <w:smallCaps w:val="false"/>
          <w:strike w:val="false"/>
          <w:dstrike w:val="false"/>
          <w:outline w:val="false"/>
          <w:shadow w:val="false"/>
          <w:color w:val="auto"/>
          <w:spacing w:val="0"/>
          <w:position w:val="0"/>
          <w:sz w:val="22"/>
          <w:sz w:val="22"/>
          <w:szCs w:val="22"/>
          <w:u w:val="none"/>
          <w:vertAlign w:val="baseline"/>
          <w:lang w:val="cs-CZ" w:eastAsia="cs-CZ" w:bidi="zxx"/>
        </w:rPr>
        <w:t>ČSN 46 4902 - 1 Výpěstky okrasných dřevin, všeobecná ustanovení a ukazatele jakosti , ČSN 83 9001 Sadovnictví a krajinářství - Terminologie - Základní odborné termíny a definice.</w:t>
      </w:r>
    </w:p>
    <w:p>
      <w:pPr>
        <w:pStyle w:val="Normal"/>
        <w:spacing w:before="0" w:after="113"/>
        <w:jc w:val="both"/>
        <w:rPr/>
      </w:pPr>
      <w:r>
        <w:rPr/>
        <w:tab/>
        <w:t>Zejména je třeba zajistit bezpečnost v ochranných pásmech inženýrských sítí a při jejich poškození. Upozorňujeme na nutnost, před započetím zemních prací, vytyčit všechny inženýrské sítě správci přímo v terénu. V blízkosti zařízení pod napětím se musí učinit opatření proti dotyku nebo přiblížení se k částem s nebezpečným napětím (viz. ČSN 34 3100, 34 3108 bezpečnostní předpisy o zacházení s elektrickým zařízením pracovníky seznámenými). V těchto prostorách nesmí pracovník pracovat osamoceně. Všichni pracovníci musí být seznámeni s předpisy a pokyny pro zajištění bezpečnosti a ochrany zdraví při práci, musí používat ochranné zařízení a osobní ochranné pomůcky.</w:t>
      </w:r>
    </w:p>
    <w:p>
      <w:pPr>
        <w:pStyle w:val="Nadpis2"/>
        <w:spacing w:before="0" w:after="113"/>
        <w:jc w:val="both"/>
        <w:rPr/>
      </w:pPr>
      <w:r>
        <w:rPr>
          <w:rFonts w:eastAsia="" w:cs="" w:cstheme="majorBidi" w:eastAsiaTheme="majorEastAsia"/>
          <w:color w:val="2F5496" w:themeColor="accent1" w:themeShade="bf"/>
          <w:sz w:val="26"/>
          <w:szCs w:val="26"/>
        </w:rPr>
        <w:t>Rostlinný materiál</w:t>
      </w:r>
    </w:p>
    <w:p>
      <w:pPr>
        <w:pStyle w:val="Normal"/>
        <w:spacing w:before="0" w:after="113"/>
        <w:jc w:val="both"/>
        <w:rPr/>
      </w:pPr>
      <w:r>
        <w:rPr/>
        <w:tab/>
        <w:t>Zvolený sortiment dřevin navazuje na stávající úpravu zeleně a na sousedící porost severně od stavby. Respektován je parkový charakter úpravy.</w:t>
      </w:r>
    </w:p>
    <w:p>
      <w:pPr>
        <w:pStyle w:val="Normal"/>
        <w:spacing w:before="0" w:after="113"/>
        <w:jc w:val="both"/>
        <w:rPr/>
      </w:pPr>
      <w:r>
        <w:rPr/>
        <w:tab/>
        <w:t>Výběr druhů je uveden v odstavci Návrh a v legendě výkresu sadových úprav.</w:t>
      </w:r>
    </w:p>
    <w:p>
      <w:pPr>
        <w:pStyle w:val="Nadpis2"/>
        <w:spacing w:before="0" w:after="113"/>
        <w:jc w:val="both"/>
        <w:rPr/>
      </w:pPr>
      <w:r>
        <w:rPr/>
        <w:t>Závěrečná upozornění</w:t>
      </w:r>
    </w:p>
    <w:p>
      <w:pPr>
        <w:pStyle w:val="NoSpacing"/>
        <w:numPr>
          <w:ilvl w:val="0"/>
          <w:numId w:val="1"/>
        </w:numPr>
        <w:spacing w:before="0" w:after="0"/>
        <w:jc w:val="both"/>
        <w:rPr/>
      </w:pPr>
      <w:r>
        <w:rPr/>
        <w:t>platí všechna ostatní ustanovení bezpečnostních předpisů, která zde nejsou přímo citována.</w:t>
      </w:r>
    </w:p>
    <w:p>
      <w:pPr>
        <w:pStyle w:val="NoSpacing"/>
        <w:numPr>
          <w:ilvl w:val="0"/>
          <w:numId w:val="1"/>
        </w:numPr>
        <w:spacing w:before="0" w:after="0"/>
        <w:jc w:val="both"/>
        <w:rPr/>
      </w:pPr>
      <w:r>
        <w:rPr/>
        <w:t>doporučujeme, aby investor zajistil před zahájením výkopových prací provedení fotodokumentace a pasportizace takových objektů podél trasy, kde je výkop veden podél budov a plotů.</w:t>
      </w:r>
    </w:p>
    <w:sectPr>
      <w:type w:val="nextPage"/>
      <w:pgSz w:w="11906" w:h="16838"/>
      <w:pgMar w:left="1247" w:right="1134" w:header="0" w:top="708" w:footer="0" w:bottom="708"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01"/>
    <w:family w:val="swiss"/>
    <w:pitch w:val="default"/>
  </w:font>
  <w:font w:name="Calibri Light">
    <w:charset w:val="01"/>
    <w:family w:val="swiss"/>
    <w:pitch w:val="default"/>
  </w:font>
  <w:font w:name="Courier New">
    <w:charset w:val="01"/>
    <w:family w:val="swiss"/>
    <w:pitch w:val="default"/>
  </w:font>
  <w:font w:name="Arial">
    <w:charset w:val="01"/>
    <w:family w:val="swiss"/>
    <w:pitch w:val="default"/>
  </w:font>
  <w:font w:name="Times New Roman">
    <w:charset w:val="01"/>
    <w:family w:val="swiss"/>
    <w:pitch w:val="default"/>
  </w:font>
  <w:font w:name="Helvetica">
    <w:altName w:val="Arial"/>
    <w:charset w:val="01"/>
    <w:family w:val="swiss"/>
    <w:pitch w:val="default"/>
  </w:font>
  <w:font w:name="Calibri">
    <w:charset w:val="01"/>
    <w:family w:val="swiss"/>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Calibri" w:hAnsi="Calibri" w:cs="Calibri" w:hint="default"/>
        <w:rFonts w:c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cs-CZ" w:eastAsia="en-US" w:bidi="ar-SA"/>
      </w:rPr>
    </w:rPrDefault>
    <w:pPrDefault>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cs-CZ" w:eastAsia="en-US" w:bidi="ar-SA"/>
    </w:rPr>
  </w:style>
  <w:style w:type="paragraph" w:styleId="Nadpis2">
    <w:name w:val="Heading 2"/>
    <w:basedOn w:val="Normal"/>
    <w:next w:val="Normal"/>
    <w:link w:val="Nadpis2Char"/>
    <w:uiPriority w:val="9"/>
    <w:unhideWhenUsed/>
    <w:qFormat/>
    <w:rsid w:val="0029389a"/>
    <w:pPr>
      <w:keepNext w:val="true"/>
      <w:keepLines/>
      <w:spacing w:before="40" w:after="0"/>
      <w:outlineLvl w:val="1"/>
    </w:pPr>
    <w:rPr>
      <w:rFonts w:ascii="Calibri Light" w:hAnsi="Calibri Light" w:eastAsia="" w:cs="" w:asciiTheme="majorHAnsi" w:cstheme="majorBidi" w:eastAsiaTheme="majorEastAsia" w:hAnsiTheme="majorHAnsi"/>
      <w:color w:val="2F5496" w:themeColor="accent1" w:themeShade="bf"/>
      <w:sz w:val="26"/>
      <w:szCs w:val="26"/>
    </w:rPr>
  </w:style>
  <w:style w:type="paragraph" w:styleId="Nadpis3">
    <w:name w:val="Heading 3"/>
    <w:basedOn w:val="Normal"/>
    <w:next w:val="Normal"/>
    <w:link w:val="Nadpis3Char"/>
    <w:uiPriority w:val="9"/>
    <w:semiHidden/>
    <w:unhideWhenUsed/>
    <w:qFormat/>
    <w:rsid w:val="003c5232"/>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Nadpis2Char" w:customStyle="1">
    <w:name w:val="Nadpis 2 Char"/>
    <w:basedOn w:val="DefaultParagraphFont"/>
    <w:link w:val="Nadpis2"/>
    <w:uiPriority w:val="9"/>
    <w:qFormat/>
    <w:rsid w:val="0029389a"/>
    <w:rPr>
      <w:rFonts w:ascii="Calibri Light" w:hAnsi="Calibri Light" w:eastAsia="" w:cs="" w:asciiTheme="majorHAnsi" w:cstheme="majorBidi" w:eastAsiaTheme="majorEastAsia" w:hAnsiTheme="majorHAnsi"/>
      <w:color w:val="2F5496" w:themeColor="accent1" w:themeShade="bf"/>
      <w:sz w:val="26"/>
      <w:szCs w:val="26"/>
    </w:rPr>
  </w:style>
  <w:style w:type="character" w:styleId="ZhlavChar" w:customStyle="1">
    <w:name w:val="Záhlaví Char"/>
    <w:basedOn w:val="DefaultParagraphFont"/>
    <w:link w:val="Zhlav"/>
    <w:uiPriority w:val="99"/>
    <w:qFormat/>
    <w:rsid w:val="002c1b3d"/>
    <w:rPr/>
  </w:style>
  <w:style w:type="character" w:styleId="ZpatChar" w:customStyle="1">
    <w:name w:val="Zápatí Char"/>
    <w:basedOn w:val="DefaultParagraphFont"/>
    <w:link w:val="Zpat"/>
    <w:uiPriority w:val="99"/>
    <w:qFormat/>
    <w:rsid w:val="002c1b3d"/>
    <w:rPr/>
  </w:style>
  <w:style w:type="character" w:styleId="Nadpis3Char" w:customStyle="1">
    <w:name w:val="Nadpis 3 Char"/>
    <w:basedOn w:val="DefaultParagraphFont"/>
    <w:link w:val="Nadpis3"/>
    <w:uiPriority w:val="9"/>
    <w:semiHidden/>
    <w:qFormat/>
    <w:rsid w:val="003c5232"/>
    <w:rPr>
      <w:rFonts w:ascii="Calibri Light" w:hAnsi="Calibri Light" w:eastAsia="" w:cs="" w:asciiTheme="majorHAnsi" w:cstheme="majorBidi" w:eastAsiaTheme="majorEastAsia" w:hAnsiTheme="majorHAnsi"/>
      <w:color w:val="1F3763" w:themeColor="accent1" w:themeShade="7f"/>
      <w:sz w:val="24"/>
      <w:szCs w:val="24"/>
    </w:rPr>
  </w:style>
  <w:style w:type="character" w:styleId="ProsttextChar" w:customStyle="1">
    <w:name w:val="Prostý text Char"/>
    <w:basedOn w:val="DefaultParagraphFont"/>
    <w:link w:val="Prosttext"/>
    <w:qFormat/>
    <w:rsid w:val="0041723b"/>
    <w:rPr>
      <w:rFonts w:ascii="Courier New" w:hAnsi="Courier New" w:eastAsia="Times New Roman" w:cs="Times New Roman"/>
      <w:sz w:val="20"/>
      <w:szCs w:val="20"/>
      <w:lang w:val="x-none" w:eastAsia="cs-CZ"/>
    </w:rPr>
  </w:style>
  <w:style w:type="paragraph" w:styleId="Nadpis">
    <w:name w:val="Nadpis"/>
    <w:basedOn w:val="Normal"/>
    <w:next w:val="Tlotextu"/>
    <w:qFormat/>
    <w:pPr>
      <w:keepNext w:val="true"/>
      <w:spacing w:before="240" w:after="120"/>
    </w:pPr>
    <w:rPr>
      <w:rFonts w:ascii="Arial" w:hAnsi="Arial" w:eastAsia="Microsoft YaHei" w:cs="Arial"/>
      <w:sz w:val="28"/>
      <w:szCs w:val="28"/>
    </w:rPr>
  </w:style>
  <w:style w:type="paragraph" w:styleId="Tlotextu">
    <w:name w:val="Body Text"/>
    <w:basedOn w:val="Normal"/>
    <w:pPr>
      <w:spacing w:lineRule="auto" w:line="276" w:before="0" w:after="140"/>
    </w:pPr>
    <w:rPr/>
  </w:style>
  <w:style w:type="paragraph" w:styleId="Seznam">
    <w:name w:val="List"/>
    <w:basedOn w:val="Tlotextu"/>
    <w:pPr/>
    <w:rPr>
      <w:rFonts w:ascii="Arial" w:hAnsi="Arial" w:cs="Arial"/>
      <w:sz w:val="24"/>
    </w:rPr>
  </w:style>
  <w:style w:type="paragraph" w:styleId="Popisek">
    <w:name w:val="Caption"/>
    <w:basedOn w:val="Normal"/>
    <w:qFormat/>
    <w:pPr>
      <w:suppressLineNumbers/>
      <w:spacing w:before="120" w:after="120"/>
    </w:pPr>
    <w:rPr>
      <w:rFonts w:ascii="Arial" w:hAnsi="Arial" w:cs="Arial"/>
      <w:i/>
      <w:iCs/>
      <w:sz w:val="24"/>
      <w:szCs w:val="24"/>
    </w:rPr>
  </w:style>
  <w:style w:type="paragraph" w:styleId="Rejstk">
    <w:name w:val="Rejstřík"/>
    <w:basedOn w:val="Normal"/>
    <w:qFormat/>
    <w:pPr>
      <w:suppressLineNumbers/>
    </w:pPr>
    <w:rPr>
      <w:rFonts w:ascii="Arial" w:hAnsi="Arial" w:cs="Arial"/>
      <w:sz w:val="24"/>
    </w:rPr>
  </w:style>
  <w:style w:type="paragraph" w:styleId="NoSpacing">
    <w:name w:val="No Spacing"/>
    <w:uiPriority w:val="1"/>
    <w:qFormat/>
    <w:rsid w:val="0029389a"/>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cs-CZ" w:eastAsia="en-US" w:bidi="ar-SA"/>
    </w:rPr>
  </w:style>
  <w:style w:type="paragraph" w:styleId="Zhlavazpat">
    <w:name w:val="Záhlaví a zápatí"/>
    <w:basedOn w:val="Normal"/>
    <w:qFormat/>
    <w:pPr/>
    <w:rPr/>
  </w:style>
  <w:style w:type="paragraph" w:styleId="Zhlav">
    <w:name w:val="Header"/>
    <w:basedOn w:val="Normal"/>
    <w:link w:val="ZhlavChar"/>
    <w:uiPriority w:val="99"/>
    <w:unhideWhenUsed/>
    <w:rsid w:val="002c1b3d"/>
    <w:pPr>
      <w:tabs>
        <w:tab w:val="clear" w:pos="720"/>
        <w:tab w:val="center" w:pos="4536" w:leader="none"/>
        <w:tab w:val="right" w:pos="9072" w:leader="none"/>
      </w:tabs>
      <w:spacing w:lineRule="auto" w:line="240" w:before="0" w:after="0"/>
    </w:pPr>
    <w:rPr/>
  </w:style>
  <w:style w:type="paragraph" w:styleId="Zpat">
    <w:name w:val="Footer"/>
    <w:basedOn w:val="Normal"/>
    <w:link w:val="ZpatChar"/>
    <w:uiPriority w:val="99"/>
    <w:unhideWhenUsed/>
    <w:rsid w:val="002c1b3d"/>
    <w:pPr>
      <w:tabs>
        <w:tab w:val="clear" w:pos="720"/>
        <w:tab w:val="center" w:pos="4536" w:leader="none"/>
        <w:tab w:val="right" w:pos="9072" w:leader="none"/>
      </w:tabs>
      <w:spacing w:lineRule="auto" w:line="240" w:before="0" w:after="0"/>
    </w:pPr>
    <w:rPr/>
  </w:style>
  <w:style w:type="paragraph" w:styleId="ListParagraph">
    <w:name w:val="List Paragraph"/>
    <w:basedOn w:val="Normal"/>
    <w:uiPriority w:val="34"/>
    <w:qFormat/>
    <w:rsid w:val="005271ae"/>
    <w:pPr>
      <w:spacing w:before="0" w:after="160"/>
      <w:ind w:left="720" w:hanging="0"/>
      <w:contextualSpacing/>
    </w:pPr>
    <w:rPr/>
  </w:style>
  <w:style w:type="paragraph" w:styleId="PlainText">
    <w:name w:val="Plain Text"/>
    <w:basedOn w:val="Normal"/>
    <w:link w:val="ProsttextChar"/>
    <w:qFormat/>
    <w:rsid w:val="0041723b"/>
    <w:pPr>
      <w:spacing w:lineRule="auto" w:line="240" w:before="0" w:after="0"/>
    </w:pPr>
    <w:rPr>
      <w:rFonts w:ascii="Courier New" w:hAnsi="Courier New" w:eastAsia="Times New Roman" w:cs="Times New Roman"/>
      <w:sz w:val="20"/>
      <w:szCs w:val="20"/>
      <w:lang w:val="x-none" w:eastAsia="cs-CZ"/>
    </w:rPr>
  </w:style>
  <w:style w:type="paragraph" w:styleId="Normln">
    <w:name w:val="Normální~~"/>
    <w:basedOn w:val="Normal"/>
    <w:qFormat/>
    <w:pPr>
      <w:widowControl w:val="false"/>
    </w:pPr>
    <w:rPr>
      <w:rFonts w:ascii="Times New Roman" w:hAnsi="Times New Roman" w:cs="Times New Roman"/>
      <w:b w:val="false"/>
      <w:i w:val="false"/>
      <w:caps w:val="false"/>
      <w:smallCaps w:val="false"/>
      <w:strike w:val="false"/>
      <w:dstrike w:val="false"/>
      <w:outline w:val="false"/>
      <w:shadow w:val="false"/>
      <w:color w:val="auto"/>
      <w:spacing w:val="0"/>
      <w:position w:val="0"/>
      <w:sz w:val="24"/>
      <w:sz w:val="24"/>
      <w:u w:val="none"/>
      <w:vertAlign w:val="baseline"/>
      <w:lang w:val="cs-CZ" w:eastAsia="cs-CZ"/>
    </w:rPr>
  </w:style>
  <w:style w:type="numbering" w:styleId="NoList" w:default="1">
    <w:name w:val="No List"/>
    <w:uiPriority w:val="99"/>
    <w:semiHidden/>
    <w:unhideWhenUsed/>
    <w:qFormat/>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346F-5D89-466B-AD95-2531597F8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Application>LibreOffice/6.3.5.2$Windows_X86_64 LibreOffice_project/dd0751754f11728f69b42ee2af66670068624673</Application>
  <Pages>4</Pages>
  <Words>1550</Words>
  <Characters>8785</Characters>
  <CharactersWithSpaces>10347</CharactersWithSpaces>
  <Paragraphs>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2019-02-14T13:03:00Z</dcterms:created>
  <dc:creator>Pavel</dc:creator>
  <dc:description/>
  <dc:language>cs-CZ</dc:language>
  <cp:lastModifiedBy>Šteflíček </cp:lastModifiedBy>
  <cp:lastPrinted>2018-09-26T08:32:00Z</cp:lastPrinted>
  <dcterms:modified xsi:type="dcterms:W3CDTF">2020-10-31T11:13:49Z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